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79" w:rsidRDefault="002A0079" w:rsidP="002A0079">
      <w:pPr>
        <w:shd w:val="clear" w:color="auto" w:fill="FFFFFF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E67F96" wp14:editId="14B97EC1">
                <wp:simplePos x="0" y="0"/>
                <wp:positionH relativeFrom="margin">
                  <wp:posOffset>-3398520</wp:posOffset>
                </wp:positionH>
                <wp:positionV relativeFrom="paragraph">
                  <wp:posOffset>-3175</wp:posOffset>
                </wp:positionV>
                <wp:extent cx="0" cy="179197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19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7.6pt,-.25pt" to="-267.6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GoEgIAACk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5Rop0&#10;INFWKI4moTO9cQUEVGpnQ230rF7MVtPvDildtUQdeGT4ejGQloWM5E1K2DgD+Pv+s2YQQ45exzad&#10;G9sFSGgAOkc1Lnc1+NkjOhxSOM1mi2wxi0olpLglGuv8J647FIwSS+Acgclp63wgQopbSLhH6Y2Q&#10;MootFeoBdZJOn2KG01Kw4A1xzh72lbToRMK8xC+WBZ7HMKuPikW0lhO2vtqeCDnYcLtUAQ9qAT5X&#10;axiIH4t0sZ6v5/kon0zXozyt69HHTZWPppts9lR/qKuqzn4GalletIIxrgK723Bm+d+Jf30mw1jd&#10;x/Peh+QtemwYkL39I+koZtBvmIS9ZpedvYkM8xiDr28nDPzjHuzHF776BQAA//8DAFBLAwQUAAYA&#10;CAAAACEA9wpDf98AAAALAQAADwAAAGRycy9kb3ducmV2LnhtbEyPTU/CQBCG7yb+h82QeDGwpQI2&#10;tVtiSPSmQcDIcekObWN3tukutP57h8REbvPx5J1nsuVgG3HGzteOFEwnEQikwpmaSgW77cs4AeGD&#10;JqMbR6jgBz0s89ubTKfG9fSB500oBYeQT7WCKoQ2ldIXFVrtJ65F4t3RdVYHbrtSmk73HG4bGUfR&#10;QlpdE1+odIurCovvzckqkDJKZsPnV/82u/dJvV+V+9f3tVJ3o+H5CUTAIfzDcNFndcjZ6eBOZLxo&#10;FIznD/OY2UsFgoG/wUFBnEwfQeaZvP4h/wUAAP//AwBQSwECLQAUAAYACAAAACEAtoM4kv4AAADh&#10;AQAAEwAAAAAAAAAAAAAAAAAAAAAAW0NvbnRlbnRfVHlwZXNdLnhtbFBLAQItABQABgAIAAAAIQA4&#10;/SH/1gAAAJQBAAALAAAAAAAAAAAAAAAAAC8BAABfcmVscy8ucmVsc1BLAQItABQABgAIAAAAIQB9&#10;O4GoEgIAACkEAAAOAAAAAAAAAAAAAAAAAC4CAABkcnMvZTJvRG9jLnhtbFBLAQItABQABgAIAAAA&#10;IQD3CkN/3wAAAAs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rFonts w:eastAsia="Times New Roman" w:cs="Times New Roman"/>
          <w:b/>
          <w:bCs/>
          <w:color w:val="16489E"/>
          <w:spacing w:val="-2"/>
          <w:sz w:val="28"/>
          <w:szCs w:val="28"/>
        </w:rPr>
        <w:t>Об</w:t>
      </w:r>
      <w:r>
        <w:rPr>
          <w:rFonts w:eastAsia="Times New Roman"/>
          <w:b/>
          <w:bCs/>
          <w:color w:val="16489E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16489E"/>
          <w:spacing w:val="-2"/>
          <w:sz w:val="28"/>
          <w:szCs w:val="28"/>
        </w:rPr>
        <w:t>измерении</w:t>
      </w:r>
      <w:r>
        <w:rPr>
          <w:rFonts w:eastAsia="Times New Roman"/>
          <w:b/>
          <w:bCs/>
          <w:color w:val="16489E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16489E"/>
          <w:spacing w:val="-2"/>
          <w:sz w:val="28"/>
          <w:szCs w:val="28"/>
        </w:rPr>
        <w:t>частичных</w:t>
      </w:r>
      <w:r>
        <w:rPr>
          <w:rFonts w:eastAsia="Times New Roman"/>
          <w:b/>
          <w:bCs/>
          <w:color w:val="16489E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16489E"/>
          <w:spacing w:val="-2"/>
          <w:sz w:val="28"/>
          <w:szCs w:val="28"/>
        </w:rPr>
        <w:t>разрядов</w:t>
      </w:r>
    </w:p>
    <w:p w:rsidR="002A0079" w:rsidRDefault="002A0079" w:rsidP="002A0079">
      <w:pPr>
        <w:shd w:val="clear" w:color="auto" w:fill="FFFFFF"/>
        <w:spacing w:line="211" w:lineRule="exact"/>
      </w:pPr>
      <w:r>
        <w:rPr>
          <w:rFonts w:eastAsia="Times New Roman" w:cs="Times New Roman"/>
          <w:b/>
          <w:bCs/>
          <w:color w:val="16489E"/>
          <w:spacing w:val="-9"/>
          <w:sz w:val="18"/>
          <w:szCs w:val="18"/>
        </w:rPr>
        <w:t>СЕРГЕЕВ</w:t>
      </w:r>
      <w:r>
        <w:rPr>
          <w:rFonts w:eastAsia="Times New Roman"/>
          <w:b/>
          <w:bCs/>
          <w:color w:val="16489E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16489E"/>
          <w:spacing w:val="-9"/>
          <w:sz w:val="18"/>
          <w:szCs w:val="18"/>
        </w:rPr>
        <w:t>И</w:t>
      </w:r>
      <w:r>
        <w:rPr>
          <w:rFonts w:eastAsia="Times New Roman"/>
          <w:b/>
          <w:bCs/>
          <w:color w:val="16489E"/>
          <w:spacing w:val="-9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16489E"/>
          <w:spacing w:val="-9"/>
          <w:sz w:val="18"/>
          <w:szCs w:val="18"/>
        </w:rPr>
        <w:t>И</w:t>
      </w:r>
      <w:r>
        <w:rPr>
          <w:rFonts w:eastAsia="Times New Roman"/>
          <w:b/>
          <w:bCs/>
          <w:color w:val="16489E"/>
          <w:spacing w:val="-9"/>
          <w:sz w:val="18"/>
          <w:szCs w:val="18"/>
        </w:rPr>
        <w:t xml:space="preserve">., </w:t>
      </w:r>
      <w:r>
        <w:rPr>
          <w:rFonts w:eastAsia="Times New Roman" w:cs="Times New Roman"/>
          <w:b/>
          <w:bCs/>
          <w:color w:val="16489E"/>
          <w:spacing w:val="-9"/>
          <w:sz w:val="18"/>
          <w:szCs w:val="18"/>
        </w:rPr>
        <w:t>ООО</w:t>
      </w:r>
      <w:r>
        <w:rPr>
          <w:rFonts w:eastAsia="Times New Roman"/>
          <w:b/>
          <w:bCs/>
          <w:color w:val="16489E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16489E"/>
          <w:spacing w:val="-9"/>
          <w:sz w:val="18"/>
          <w:szCs w:val="18"/>
        </w:rPr>
        <w:t>«Болид»</w:t>
      </w:r>
    </w:p>
    <w:p w:rsidR="002A0079" w:rsidRDefault="002A0079" w:rsidP="002A0079">
      <w:pPr>
        <w:shd w:val="clear" w:color="auto" w:fill="FFFFFF"/>
        <w:spacing w:line="211" w:lineRule="exact"/>
        <w:ind w:left="5"/>
      </w:pPr>
      <w:r>
        <w:rPr>
          <w:b/>
          <w:bCs/>
          <w:color w:val="16489E"/>
          <w:sz w:val="18"/>
          <w:szCs w:val="18"/>
        </w:rPr>
        <w:t xml:space="preserve">630015, </w:t>
      </w:r>
      <w:r>
        <w:rPr>
          <w:rFonts w:eastAsia="Times New Roman" w:cs="Times New Roman"/>
          <w:b/>
          <w:bCs/>
          <w:color w:val="16489E"/>
          <w:sz w:val="18"/>
          <w:szCs w:val="18"/>
        </w:rPr>
        <w:t>г</w:t>
      </w:r>
      <w:r>
        <w:rPr>
          <w:rFonts w:eastAsia="Times New Roman"/>
          <w:b/>
          <w:bCs/>
          <w:color w:val="16489E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color w:val="16489E"/>
          <w:sz w:val="18"/>
          <w:szCs w:val="18"/>
        </w:rPr>
        <w:t>Новосибирск</w:t>
      </w:r>
      <w:r>
        <w:rPr>
          <w:rFonts w:eastAsia="Times New Roman"/>
          <w:b/>
          <w:bCs/>
          <w:color w:val="16489E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16489E"/>
          <w:sz w:val="18"/>
          <w:szCs w:val="18"/>
        </w:rPr>
        <w:t>Электрозаводской</w:t>
      </w:r>
      <w:r>
        <w:rPr>
          <w:rFonts w:eastAsia="Times New Roman"/>
          <w:b/>
          <w:bCs/>
          <w:color w:val="16489E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16489E"/>
          <w:sz w:val="18"/>
          <w:szCs w:val="18"/>
        </w:rPr>
        <w:t>пр</w:t>
      </w:r>
      <w:r>
        <w:rPr>
          <w:rFonts w:eastAsia="Times New Roman"/>
          <w:b/>
          <w:bCs/>
          <w:color w:val="16489E"/>
          <w:sz w:val="18"/>
          <w:szCs w:val="18"/>
        </w:rPr>
        <w:t xml:space="preserve">., </w:t>
      </w:r>
      <w:r>
        <w:rPr>
          <w:rFonts w:eastAsia="Times New Roman" w:cs="Times New Roman"/>
          <w:b/>
          <w:bCs/>
          <w:color w:val="16489E"/>
          <w:sz w:val="18"/>
          <w:szCs w:val="18"/>
        </w:rPr>
        <w:t>д</w:t>
      </w:r>
      <w:r>
        <w:rPr>
          <w:rFonts w:eastAsia="Times New Roman"/>
          <w:b/>
          <w:bCs/>
          <w:color w:val="16489E"/>
          <w:sz w:val="18"/>
          <w:szCs w:val="18"/>
        </w:rPr>
        <w:t>. 1</w:t>
      </w:r>
    </w:p>
    <w:p w:rsidR="00D95A84" w:rsidRDefault="002A0079" w:rsidP="002A0079">
      <w:pPr>
        <w:rPr>
          <w:b/>
          <w:bCs/>
          <w:color w:val="16489E"/>
          <w:sz w:val="18"/>
          <w:szCs w:val="18"/>
        </w:rPr>
      </w:pPr>
      <w:hyperlink r:id="rId5" w:history="1">
        <w:r w:rsidRPr="00AA0B93">
          <w:rPr>
            <w:rStyle w:val="a3"/>
            <w:b/>
            <w:bCs/>
            <w:sz w:val="18"/>
            <w:szCs w:val="18"/>
            <w:lang w:val="en-US"/>
          </w:rPr>
          <w:t>niobolid</w:t>
        </w:r>
        <w:r w:rsidRPr="00AA0B93">
          <w:rPr>
            <w:rStyle w:val="a3"/>
            <w:b/>
            <w:bCs/>
            <w:sz w:val="18"/>
            <w:szCs w:val="18"/>
          </w:rPr>
          <w:t>@</w:t>
        </w:r>
        <w:r w:rsidRPr="00AA0B93">
          <w:rPr>
            <w:rStyle w:val="a3"/>
            <w:b/>
            <w:bCs/>
            <w:sz w:val="18"/>
            <w:szCs w:val="18"/>
            <w:lang w:val="en-US"/>
          </w:rPr>
          <w:t>ngs</w:t>
        </w:r>
        <w:r w:rsidRPr="00AA0B93">
          <w:rPr>
            <w:rStyle w:val="a3"/>
            <w:b/>
            <w:bCs/>
            <w:sz w:val="18"/>
            <w:szCs w:val="18"/>
          </w:rPr>
          <w:t>.</w:t>
        </w:r>
        <w:r w:rsidRPr="00AA0B93">
          <w:rPr>
            <w:rStyle w:val="a3"/>
            <w:b/>
            <w:bCs/>
            <w:sz w:val="18"/>
            <w:szCs w:val="18"/>
            <w:lang w:val="en-US"/>
          </w:rPr>
          <w:t>ru</w:t>
        </w:r>
      </w:hyperlink>
    </w:p>
    <w:p w:rsidR="002A0079" w:rsidRDefault="002A0079" w:rsidP="002A0079">
      <w:pPr>
        <w:rPr>
          <w:b/>
          <w:bCs/>
          <w:color w:val="16489E"/>
          <w:sz w:val="18"/>
          <w:szCs w:val="18"/>
        </w:rPr>
      </w:pPr>
    </w:p>
    <w:p w:rsidR="002A0079" w:rsidRDefault="002A0079" w:rsidP="002A0079">
      <w:pPr>
        <w:rPr>
          <w:b/>
          <w:bCs/>
          <w:color w:val="16489E"/>
          <w:sz w:val="18"/>
          <w:szCs w:val="18"/>
        </w:rPr>
      </w:pPr>
      <w:bookmarkStart w:id="0" w:name="_GoBack"/>
      <w:bookmarkEnd w:id="0"/>
    </w:p>
    <w:p w:rsidR="002A0079" w:rsidRDefault="002A0079" w:rsidP="002A0079">
      <w:r>
        <w:t>Ч</w:t>
      </w:r>
      <w:r>
        <w:t xml:space="preserve">астичные разряды — общепризнанный критерий наличия и развития </w:t>
      </w:r>
      <w:proofErr w:type="gramStart"/>
      <w:r>
        <w:t>не-однородностей</w:t>
      </w:r>
      <w:proofErr w:type="gramEnd"/>
      <w:r>
        <w:t xml:space="preserve"> (или дефектов) в структуре высоковольтной изоляции электротехнических изделий. Возникновение их происходит в местах, где локальная напряжённость электрического поля достигает электрической прочности среды. Действие ЧР приводит к ухудшению (иногда значительному) электрических характеристик изоляции электротехнических изделий при эксплуатации с последующим её пробоем и отказом изделия со всеми вытекающими последствиями. Измерение, обнаружение и локализация ЧР широко применяется для диагностики технического состояния изоляции оборудования, как при испытаниях в производстве, так и в условиях эксплуатации.</w:t>
      </w:r>
    </w:p>
    <w:p w:rsidR="002A0079" w:rsidRDefault="002A0079" w:rsidP="002A0079">
      <w:r>
        <w:t>Частичный разряд — следствие взаимодействия разноимённых зарядов, в результате которого возникает проводящий плазменный канал, пропускающий ток или позволяющий образовывать единичный лавинный заряд (</w:t>
      </w:r>
      <w:proofErr w:type="gramStart"/>
      <w:r>
        <w:t>электро-нов</w:t>
      </w:r>
      <w:proofErr w:type="gramEnd"/>
      <w:r>
        <w:t xml:space="preserve"> и ионов). В результате последнего происходит частичная или полная нейтрализация заряда ёмкости включения (поры) с выделением энергии в канале разряда. Часть этой энергии расходуется на формирование канала разряда, а остальная (большая) рассеивается в изоляции (электронно-ионная бомбардировка, излучение всех видов, </w:t>
      </w:r>
      <w:proofErr w:type="gramStart"/>
      <w:r>
        <w:t>термический</w:t>
      </w:r>
      <w:proofErr w:type="gramEnd"/>
      <w:r>
        <w:t xml:space="preserve"> на-грев и химические реакции).</w:t>
      </w:r>
    </w:p>
    <w:p w:rsidR="002A0079" w:rsidRDefault="002A0079" w:rsidP="002A0079">
      <w:r>
        <w:t>Процессы при ЧР сопровождаются оптическими, электромагнитными, акустическими, термическими явлениями (эффектами), химическими реакциями и следами разрушения (воздействия) на изоляцию. Эти явления в свою очередь широко используются для обнаружения</w:t>
      </w:r>
    </w:p>
    <w:p w:rsidR="002A0079" w:rsidRDefault="002A0079" w:rsidP="002A0079">
      <w:r>
        <w:t xml:space="preserve">локализации и изучения воздействия ЧР на изоляцию. Продукты </w:t>
      </w:r>
      <w:proofErr w:type="gramStart"/>
      <w:r>
        <w:t>химических</w:t>
      </w:r>
      <w:proofErr w:type="gramEnd"/>
      <w:r>
        <w:t xml:space="preserve"> ре-акций зависят от среды, в которой про-исходят разряды: в воздухе — напри-мер, озон; в </w:t>
      </w:r>
      <w:proofErr w:type="spellStart"/>
      <w:r>
        <w:t>элегазе</w:t>
      </w:r>
      <w:proofErr w:type="spellEnd"/>
      <w:r>
        <w:t xml:space="preserve"> — химически активные и токсичные низшие фториды; в масле — горючие газы и пр.</w:t>
      </w:r>
    </w:p>
    <w:p w:rsidR="002A0079" w:rsidRDefault="002A0079" w:rsidP="002A0079">
      <w:r>
        <w:t xml:space="preserve">Соотношения между частями распределения энергии разряда, прямо пропорциональной кажущемуся заряду, имеют нелинейную зависимость от среды, в которой происходит разряд, его характера, характеристик и свойств изоляционного материала. Так, например, в бумажно-масляной изоляции при интенсивности разрядов 10 — 100 </w:t>
      </w:r>
      <w:proofErr w:type="spellStart"/>
      <w:r>
        <w:t>пКл</w:t>
      </w:r>
      <w:proofErr w:type="spellEnd"/>
      <w:r>
        <w:t xml:space="preserve"> </w:t>
      </w:r>
      <w:proofErr w:type="gramStart"/>
      <w:r>
        <w:t>об-разуется</w:t>
      </w:r>
      <w:proofErr w:type="gramEnd"/>
      <w:r>
        <w:t xml:space="preserve"> только Х-воск, а при интенсивности 1000 </w:t>
      </w:r>
      <w:proofErr w:type="spellStart"/>
      <w:r>
        <w:t>пКп</w:t>
      </w:r>
      <w:proofErr w:type="spellEnd"/>
      <w:r>
        <w:t xml:space="preserve"> и более остаются науглероженные следы на бумаге [3, 4].</w:t>
      </w:r>
    </w:p>
    <w:p w:rsidR="002A0079" w:rsidRDefault="002A0079" w:rsidP="002A0079">
      <w:r>
        <w:t xml:space="preserve">Впервые вопросы, связанные с </w:t>
      </w:r>
      <w:proofErr w:type="gramStart"/>
      <w:r>
        <w:t>не-удовлетворительными</w:t>
      </w:r>
      <w:proofErr w:type="gramEnd"/>
      <w:r>
        <w:t xml:space="preserve"> объяснениями процессов пробоя изоляции, возникли в кабельной технике в начале XX века. </w:t>
      </w:r>
      <w:proofErr w:type="gramStart"/>
      <w:r>
        <w:t>Так, Д. Робинзон (D.</w:t>
      </w:r>
      <w:proofErr w:type="gramEnd"/>
      <w:r>
        <w:t xml:space="preserve"> </w:t>
      </w:r>
      <w:proofErr w:type="spellStart"/>
      <w:proofErr w:type="gramStart"/>
      <w:r>
        <w:t>Robinson</w:t>
      </w:r>
      <w:proofErr w:type="spellEnd"/>
      <w:r>
        <w:t>) указывает: «...у некоторых инженеров создалось мнение, что пробой кабеля является каким-то таинственным процессом, происходящим внезапно, без объяснимых причин.</w:t>
      </w:r>
      <w:proofErr w:type="gramEnd"/>
      <w:r>
        <w:t xml:space="preserve"> </w:t>
      </w:r>
      <w:proofErr w:type="spellStart"/>
      <w:r>
        <w:t>Эвершед</w:t>
      </w:r>
      <w:proofErr w:type="spellEnd"/>
      <w:r>
        <w:t xml:space="preserve"> (</w:t>
      </w:r>
      <w:proofErr w:type="spellStart"/>
      <w:r>
        <w:t>Evershed</w:t>
      </w:r>
      <w:proofErr w:type="spellEnd"/>
      <w:r>
        <w:t>), протестуя против такого мнения ещё в 1913 г., сказал: "Обычно объясняют пробой диэлектрика действием напряжения; в изоляции появляется черноватое отверстие, и отсюда делается слишком поспешный вывод, что процесс пробоя был мгновенным и что его нельзя было предвидеть во время испытаний. Однако ничего в природе, даже при взрыве, не происходит мгновенно, и пробой изолятора происходит внезапно только в умах, не понимающих этого явления"» [5].</w:t>
      </w:r>
    </w:p>
    <w:p w:rsidR="002A0079" w:rsidRDefault="002A0079" w:rsidP="002A0079"/>
    <w:p w:rsidR="002A0079" w:rsidRDefault="002A0079" w:rsidP="002A0079">
      <w:r>
        <w:t>Выводы</w:t>
      </w:r>
    </w:p>
    <w:p w:rsidR="002A0079" w:rsidRDefault="002A0079" w:rsidP="002A0079">
      <w:r>
        <w:t>1.</w:t>
      </w:r>
      <w:r>
        <w:tab/>
        <w:t>Национальный   стандарт   ГОСТ Р55191-2012 (МЭК 60270:2000) «Методы</w:t>
      </w:r>
      <w:r>
        <w:t xml:space="preserve"> </w:t>
      </w:r>
      <w:r>
        <w:t>испытаний высоким напряжением. Измерения частичных разрядов» [2] необходимо отменить по указанным в статье</w:t>
      </w:r>
      <w:r>
        <w:t xml:space="preserve"> </w:t>
      </w:r>
      <w:r>
        <w:t>причинам.</w:t>
      </w:r>
    </w:p>
    <w:p w:rsidR="002A0079" w:rsidRDefault="002A0079" w:rsidP="002A0079">
      <w:r>
        <w:t>2.</w:t>
      </w:r>
      <w:r>
        <w:tab/>
        <w:t>Стандарт МЭК 60270:2015 в редакции 3.1 [19] следует опубликовать на</w:t>
      </w:r>
      <w:r>
        <w:t xml:space="preserve"> </w:t>
      </w:r>
      <w:r>
        <w:t>русском языке в виде официального перевода, как ранее издавались его первая</w:t>
      </w:r>
      <w:r>
        <w:t xml:space="preserve"> </w:t>
      </w:r>
      <w:r>
        <w:t>и вторая редакции.</w:t>
      </w:r>
    </w:p>
    <w:p w:rsidR="002A0079" w:rsidRDefault="002A0079" w:rsidP="002A0079">
      <w:r>
        <w:t>3.</w:t>
      </w:r>
      <w:r>
        <w:tab/>
        <w:t>Необходимо провести актуализацию существующего стандарта  ГОСТ</w:t>
      </w:r>
      <w:r>
        <w:t xml:space="preserve"> </w:t>
      </w:r>
      <w:r>
        <w:t>20074-83  (</w:t>
      </w:r>
      <w:proofErr w:type="gramStart"/>
      <w:r>
        <w:t>СТ</w:t>
      </w:r>
      <w:proofErr w:type="gramEnd"/>
      <w:r>
        <w:t xml:space="preserve">  СЭВ  3689-82)  «Электрооборудование  и  электроустановки.</w:t>
      </w:r>
    </w:p>
    <w:p w:rsidR="002A0079" w:rsidRDefault="002A0079" w:rsidP="002A0079">
      <w:r>
        <w:t>Метод измерения характеристик частичных разрядов» [1] с учётом обновлённой</w:t>
      </w:r>
      <w:r>
        <w:t xml:space="preserve"> </w:t>
      </w:r>
      <w:r>
        <w:t>редакции 3.1 стандарта МЭК 60270:2015</w:t>
      </w:r>
      <w:r>
        <w:t xml:space="preserve"> </w:t>
      </w:r>
      <w:r>
        <w:t>[19], уровня развития цифровой измерительной техники, компьютеризации процессов обработки информации и изложенных предложений.</w:t>
      </w:r>
    </w:p>
    <w:p w:rsidR="002A0079" w:rsidRDefault="002A0079" w:rsidP="002A0079">
      <w:r>
        <w:t>СПИСОК ЛИТЕРАТУРЫ</w:t>
      </w:r>
    </w:p>
    <w:p w:rsidR="002A0079" w:rsidRDefault="002A0079" w:rsidP="002A0079">
      <w:r>
        <w:t>1.</w:t>
      </w:r>
      <w:r>
        <w:tab/>
        <w:t>ГОСТ 20074-83 (</w:t>
      </w:r>
      <w:proofErr w:type="gramStart"/>
      <w:r>
        <w:t>СТ</w:t>
      </w:r>
      <w:proofErr w:type="gramEnd"/>
      <w:r>
        <w:t xml:space="preserve"> СЭВ 3689-82).Электрооборудование   и   электроустановки. Метод измерения характеристик</w:t>
      </w:r>
      <w:r>
        <w:t xml:space="preserve"> </w:t>
      </w:r>
      <w:r>
        <w:t>частичных разрядов. — М.: ГК СССР по</w:t>
      </w:r>
      <w:r>
        <w:t xml:space="preserve"> </w:t>
      </w:r>
      <w:r>
        <w:t>стандартам. — 22 с.</w:t>
      </w:r>
    </w:p>
    <w:p w:rsidR="002A0079" w:rsidRDefault="002A0079" w:rsidP="002A0079">
      <w:r>
        <w:t>2.</w:t>
      </w:r>
      <w:r>
        <w:tab/>
        <w:t>ГОСТР       55191-2012       (МЭК</w:t>
      </w:r>
      <w:r>
        <w:t xml:space="preserve"> </w:t>
      </w:r>
      <w:r>
        <w:t>60270:2000). Методы испытаний высоким</w:t>
      </w:r>
      <w:r>
        <w:t xml:space="preserve"> </w:t>
      </w:r>
      <w:r>
        <w:t>напряжением. Измерения частичных разрядов, 2014.</w:t>
      </w:r>
    </w:p>
    <w:p w:rsidR="002A0079" w:rsidRDefault="002A0079" w:rsidP="002A0079">
      <w:r>
        <w:t>3.</w:t>
      </w:r>
      <w:r>
        <w:tab/>
        <w:t xml:space="preserve">Клейн А. А. Повреждение маслобарьерной изоляции частичными разрядами // Электротехническая промышленность. 1969. </w:t>
      </w:r>
      <w:proofErr w:type="spellStart"/>
      <w:r>
        <w:t>Вып</w:t>
      </w:r>
      <w:proofErr w:type="spellEnd"/>
      <w:r>
        <w:t>. 938. С. 24 - 30.</w:t>
      </w:r>
    </w:p>
    <w:p w:rsidR="002A0079" w:rsidRDefault="002A0079" w:rsidP="002A0079">
      <w:r>
        <w:t>4.</w:t>
      </w:r>
      <w:r>
        <w:tab/>
      </w:r>
      <w:proofErr w:type="spellStart"/>
      <w:r>
        <w:t>Кучинский</w:t>
      </w:r>
      <w:proofErr w:type="spellEnd"/>
      <w:r>
        <w:t xml:space="preserve"> Г. С. Частичные разряды</w:t>
      </w:r>
      <w:r>
        <w:t xml:space="preserve"> </w:t>
      </w:r>
      <w:r>
        <w:t xml:space="preserve">в высоковольтных конструкциях. — </w:t>
      </w:r>
      <w:proofErr w:type="spellStart"/>
      <w:r>
        <w:t>Л.:Энергия</w:t>
      </w:r>
      <w:proofErr w:type="spellEnd"/>
      <w:r>
        <w:t xml:space="preserve">.   Ленингр.   </w:t>
      </w:r>
      <w:proofErr w:type="spellStart"/>
      <w:r>
        <w:t>о</w:t>
      </w:r>
      <w:r>
        <w:t>тд</w:t>
      </w:r>
      <w:r>
        <w:t>-</w:t>
      </w:r>
      <w:r>
        <w:t>ние</w:t>
      </w:r>
      <w:proofErr w:type="spellEnd"/>
      <w:r>
        <w:t>,   1979.   —224 с.</w:t>
      </w:r>
    </w:p>
    <w:p w:rsidR="002A0079" w:rsidRDefault="002A0079" w:rsidP="002A0079">
      <w:r>
        <w:t>5.</w:t>
      </w:r>
      <w:r>
        <w:tab/>
        <w:t xml:space="preserve">Робинзон   Д.   М.   Диэлектрические явления в кабелях высокого напряжения // Пер. с англ. Е. К. </w:t>
      </w:r>
      <w:proofErr w:type="spellStart"/>
      <w:r>
        <w:t>Добрер</w:t>
      </w:r>
      <w:proofErr w:type="spellEnd"/>
      <w:r>
        <w:t>,</w:t>
      </w:r>
      <w:r>
        <w:t xml:space="preserve"> </w:t>
      </w:r>
      <w:r>
        <w:t>Н.  А.  Покровский.  — Л. - М.:  ГЭИ,</w:t>
      </w:r>
      <w:r>
        <w:t xml:space="preserve"> </w:t>
      </w:r>
      <w:r>
        <w:t>1941. — 199 с.</w:t>
      </w:r>
    </w:p>
    <w:p w:rsidR="002A0079" w:rsidRPr="002A0079" w:rsidRDefault="002A0079" w:rsidP="002A0079">
      <w:r>
        <w:t>6.</w:t>
      </w:r>
      <w:r>
        <w:tab/>
        <w:t>Брагин С. М., Вальтер А. Ф., Семёнов Н. Н. Теория и практика пробоя</w:t>
      </w:r>
      <w:r>
        <w:t xml:space="preserve"> </w:t>
      </w:r>
      <w:r>
        <w:t>диэлектриков. — М. - Л.: Государственное</w:t>
      </w:r>
      <w:r w:rsidRPr="002A0079">
        <w:t xml:space="preserve"> </w:t>
      </w:r>
      <w:r>
        <w:t>изд</w:t>
      </w:r>
      <w:r w:rsidRPr="002A0079">
        <w:t>-</w:t>
      </w:r>
      <w:r>
        <w:t>во</w:t>
      </w:r>
      <w:r w:rsidRPr="002A0079">
        <w:t xml:space="preserve">, 1929. — 383 </w:t>
      </w:r>
      <w:r>
        <w:t>с</w:t>
      </w:r>
      <w:r w:rsidRPr="002A0079">
        <w:t>.</w:t>
      </w:r>
    </w:p>
    <w:p w:rsidR="002A0079" w:rsidRPr="002A0079" w:rsidRDefault="002A0079" w:rsidP="002A0079">
      <w:pPr>
        <w:rPr>
          <w:lang w:val="en-US"/>
        </w:rPr>
      </w:pPr>
      <w:r w:rsidRPr="002A0079">
        <w:rPr>
          <w:lang w:val="en-US"/>
        </w:rPr>
        <w:t>7.</w:t>
      </w:r>
      <w:r w:rsidRPr="002A0079">
        <w:rPr>
          <w:lang w:val="en-US"/>
        </w:rPr>
        <w:tab/>
      </w:r>
      <w:proofErr w:type="spellStart"/>
      <w:r w:rsidRPr="002A0079">
        <w:rPr>
          <w:lang w:val="en-US"/>
        </w:rPr>
        <w:t>Gemant</w:t>
      </w:r>
      <w:proofErr w:type="spellEnd"/>
      <w:r w:rsidRPr="002A0079">
        <w:rPr>
          <w:lang w:val="en-US"/>
        </w:rPr>
        <w:t xml:space="preserve"> A., </w:t>
      </w:r>
      <w:proofErr w:type="spellStart"/>
      <w:r w:rsidRPr="002A0079">
        <w:rPr>
          <w:lang w:val="en-US"/>
        </w:rPr>
        <w:t>Philippoff</w:t>
      </w:r>
      <w:proofErr w:type="spellEnd"/>
      <w:r w:rsidRPr="002A0079">
        <w:rPr>
          <w:lang w:val="en-US"/>
        </w:rPr>
        <w:t xml:space="preserve"> W. Die Fun-</w:t>
      </w:r>
      <w:proofErr w:type="spellStart"/>
      <w:r w:rsidRPr="002A0079">
        <w:rPr>
          <w:lang w:val="en-US"/>
        </w:rPr>
        <w:t>kenstrecke</w:t>
      </w:r>
      <w:proofErr w:type="spellEnd"/>
      <w:r w:rsidRPr="002A0079">
        <w:rPr>
          <w:lang w:val="en-US"/>
        </w:rPr>
        <w:t xml:space="preserve"> </w:t>
      </w:r>
      <w:proofErr w:type="spellStart"/>
      <w:r w:rsidRPr="002A0079">
        <w:rPr>
          <w:lang w:val="en-US"/>
        </w:rPr>
        <w:t>mit</w:t>
      </w:r>
      <w:proofErr w:type="spellEnd"/>
      <w:r w:rsidRPr="002A0079">
        <w:rPr>
          <w:lang w:val="en-US"/>
        </w:rPr>
        <w:t xml:space="preserve"> </w:t>
      </w:r>
      <w:proofErr w:type="spellStart"/>
      <w:r w:rsidRPr="002A0079">
        <w:rPr>
          <w:lang w:val="en-US"/>
        </w:rPr>
        <w:t>Vorkondensator</w:t>
      </w:r>
      <w:proofErr w:type="spellEnd"/>
      <w:r w:rsidRPr="002A0079">
        <w:rPr>
          <w:lang w:val="en-US"/>
        </w:rPr>
        <w:t xml:space="preserve"> // </w:t>
      </w:r>
      <w:proofErr w:type="spellStart"/>
      <w:r w:rsidRPr="002A0079">
        <w:rPr>
          <w:lang w:val="en-US"/>
        </w:rPr>
        <w:t>Zeit-schrift</w:t>
      </w:r>
      <w:proofErr w:type="spellEnd"/>
      <w:r w:rsidRPr="002A0079">
        <w:rPr>
          <w:lang w:val="en-US"/>
        </w:rPr>
        <w:t xml:space="preserve"> fur </w:t>
      </w:r>
      <w:proofErr w:type="spellStart"/>
      <w:r w:rsidRPr="002A0079">
        <w:rPr>
          <w:lang w:val="en-US"/>
        </w:rPr>
        <w:t>Techn</w:t>
      </w:r>
      <w:proofErr w:type="spellEnd"/>
      <w:r w:rsidRPr="002A0079">
        <w:rPr>
          <w:lang w:val="en-US"/>
        </w:rPr>
        <w:t xml:space="preserve">. </w:t>
      </w:r>
      <w:proofErr w:type="spellStart"/>
      <w:proofErr w:type="gramStart"/>
      <w:r w:rsidRPr="002A0079">
        <w:rPr>
          <w:lang w:val="en-US"/>
        </w:rPr>
        <w:t>Physik</w:t>
      </w:r>
      <w:proofErr w:type="spellEnd"/>
      <w:r w:rsidRPr="002A0079">
        <w:rPr>
          <w:lang w:val="en-US"/>
        </w:rPr>
        <w:t>.</w:t>
      </w:r>
      <w:proofErr w:type="gramEnd"/>
      <w:r w:rsidRPr="002A0079">
        <w:rPr>
          <w:lang w:val="en-US"/>
        </w:rPr>
        <w:t xml:space="preserve">   1932. Vol. 13.No. 9. S. 425 - 430.</w:t>
      </w:r>
    </w:p>
    <w:p w:rsidR="002A0079" w:rsidRPr="002A0079" w:rsidRDefault="002A0079" w:rsidP="002A0079">
      <w:pPr>
        <w:rPr>
          <w:lang w:val="en-US"/>
        </w:rPr>
      </w:pPr>
      <w:r w:rsidRPr="002A0079">
        <w:rPr>
          <w:lang w:val="en-US"/>
        </w:rPr>
        <w:t>8.</w:t>
      </w:r>
      <w:r w:rsidRPr="002A0079">
        <w:rPr>
          <w:lang w:val="en-US"/>
        </w:rPr>
        <w:tab/>
        <w:t>Austen A. E. W., Hackett W. Internal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>Discharges in Dielectrics: Their Observation</w:t>
      </w:r>
    </w:p>
    <w:p w:rsidR="002A0079" w:rsidRPr="002A0079" w:rsidRDefault="002A0079" w:rsidP="002A0079">
      <w:pPr>
        <w:rPr>
          <w:lang w:val="en-US"/>
        </w:rPr>
      </w:pPr>
      <w:proofErr w:type="gramStart"/>
      <w:r w:rsidRPr="002A0079">
        <w:rPr>
          <w:lang w:val="en-US"/>
        </w:rPr>
        <w:t>and</w:t>
      </w:r>
      <w:proofErr w:type="gramEnd"/>
      <w:r w:rsidRPr="002A0079">
        <w:rPr>
          <w:lang w:val="en-US"/>
        </w:rPr>
        <w:t xml:space="preserve"> Analysis // S. </w:t>
      </w:r>
      <w:proofErr w:type="spellStart"/>
      <w:r w:rsidRPr="002A0079">
        <w:rPr>
          <w:lang w:val="en-US"/>
        </w:rPr>
        <w:t>Journ</w:t>
      </w:r>
      <w:proofErr w:type="spellEnd"/>
      <w:r w:rsidRPr="002A0079">
        <w:rPr>
          <w:lang w:val="en-US"/>
        </w:rPr>
        <w:t xml:space="preserve">. </w:t>
      </w:r>
      <w:proofErr w:type="gramStart"/>
      <w:r w:rsidRPr="002A0079">
        <w:rPr>
          <w:lang w:val="en-US"/>
        </w:rPr>
        <w:t xml:space="preserve">Inst. </w:t>
      </w:r>
      <w:proofErr w:type="spellStart"/>
      <w:r w:rsidRPr="002A0079">
        <w:rPr>
          <w:lang w:val="en-US"/>
        </w:rPr>
        <w:t>Electr</w:t>
      </w:r>
      <w:proofErr w:type="spellEnd"/>
      <w:r w:rsidRPr="002A0079">
        <w:rPr>
          <w:lang w:val="en-US"/>
        </w:rPr>
        <w:t>.</w:t>
      </w:r>
      <w:proofErr w:type="gramEnd"/>
      <w:r w:rsidRPr="002A0079">
        <w:rPr>
          <w:lang w:val="en-US"/>
        </w:rPr>
        <w:t xml:space="preserve"> Eng.</w:t>
      </w:r>
      <w:r>
        <w:t xml:space="preserve"> </w:t>
      </w:r>
      <w:r w:rsidRPr="002A0079">
        <w:rPr>
          <w:lang w:val="en-US"/>
        </w:rPr>
        <w:t xml:space="preserve">1944. Vol. 91. </w:t>
      </w:r>
      <w:proofErr w:type="gramStart"/>
      <w:r w:rsidRPr="002A0079">
        <w:rPr>
          <w:lang w:val="en-US"/>
        </w:rPr>
        <w:t>Part 1.</w:t>
      </w:r>
      <w:proofErr w:type="gramEnd"/>
      <w:r w:rsidRPr="002A0079">
        <w:rPr>
          <w:lang w:val="en-US"/>
        </w:rPr>
        <w:t xml:space="preserve"> P. 298 - 312.</w:t>
      </w:r>
    </w:p>
    <w:p w:rsidR="002A0079" w:rsidRDefault="002A0079" w:rsidP="002A0079">
      <w:r w:rsidRPr="002A0079">
        <w:rPr>
          <w:lang w:val="en-US"/>
        </w:rPr>
        <w:t>9.</w:t>
      </w:r>
      <w:r w:rsidRPr="002A0079">
        <w:rPr>
          <w:lang w:val="en-US"/>
        </w:rPr>
        <w:tab/>
        <w:t xml:space="preserve">Guide for Partial Discharge Measurements in compliance to IEC 60270 / Lemke E., </w:t>
      </w:r>
      <w:proofErr w:type="spellStart"/>
      <w:r w:rsidRPr="002A0079">
        <w:rPr>
          <w:lang w:val="en-US"/>
        </w:rPr>
        <w:t>Belijn</w:t>
      </w:r>
      <w:proofErr w:type="spellEnd"/>
      <w:r w:rsidRPr="002A0079">
        <w:rPr>
          <w:lang w:val="en-US"/>
        </w:rPr>
        <w:t xml:space="preserve"> S., </w:t>
      </w:r>
      <w:proofErr w:type="spellStart"/>
      <w:r w:rsidRPr="002A0079">
        <w:rPr>
          <w:lang w:val="en-US"/>
        </w:rPr>
        <w:t>Gulski</w:t>
      </w:r>
      <w:proofErr w:type="spellEnd"/>
      <w:r w:rsidRPr="002A0079">
        <w:rPr>
          <w:lang w:val="en-US"/>
        </w:rPr>
        <w:t xml:space="preserve"> E. </w:t>
      </w:r>
      <w:proofErr w:type="gramStart"/>
      <w:r w:rsidRPr="002A0079">
        <w:rPr>
          <w:lang w:val="en-US"/>
        </w:rPr>
        <w:t>et</w:t>
      </w:r>
      <w:proofErr w:type="gramEnd"/>
      <w:r w:rsidRPr="002A0079">
        <w:rPr>
          <w:lang w:val="en-US"/>
        </w:rPr>
        <w:t>. al. // Technical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 xml:space="preserve">Brochure 366 of </w:t>
      </w:r>
      <w:proofErr w:type="spellStart"/>
      <w:r w:rsidRPr="002A0079">
        <w:rPr>
          <w:lang w:val="en-US"/>
        </w:rPr>
        <w:t>Cigre</w:t>
      </w:r>
      <w:proofErr w:type="spellEnd"/>
      <w:r w:rsidRPr="002A0079">
        <w:rPr>
          <w:lang w:val="en-US"/>
        </w:rPr>
        <w:t xml:space="preserve"> Working Group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 xml:space="preserve">D1.33.2008. </w:t>
      </w:r>
      <w:proofErr w:type="gramStart"/>
      <w:r>
        <w:t>P. 1 -55.</w:t>
      </w:r>
      <w:proofErr w:type="gramEnd"/>
    </w:p>
    <w:p w:rsidR="002A0079" w:rsidRDefault="002A0079" w:rsidP="002A0079">
      <w:r>
        <w:t>10.</w:t>
      </w:r>
      <w:r>
        <w:tab/>
      </w:r>
      <w:proofErr w:type="spellStart"/>
      <w:r>
        <w:t>Кучинский</w:t>
      </w:r>
      <w:proofErr w:type="spellEnd"/>
      <w:r>
        <w:t xml:space="preserve"> Г. С, </w:t>
      </w:r>
      <w:proofErr w:type="spellStart"/>
      <w:r>
        <w:t>Тапупере</w:t>
      </w:r>
      <w:proofErr w:type="spellEnd"/>
      <w:r>
        <w:t xml:space="preserve"> О. </w:t>
      </w:r>
      <w:proofErr w:type="spellStart"/>
      <w:r>
        <w:t>О.Регистрация</w:t>
      </w:r>
      <w:proofErr w:type="spellEnd"/>
      <w:r>
        <w:t xml:space="preserve">    ионизационных    характеристик изоляции // Электричество. 1960.</w:t>
      </w:r>
      <w:r>
        <w:t xml:space="preserve"> </w:t>
      </w:r>
      <w:r>
        <w:t>№ 11. С. 42 - 48.</w:t>
      </w:r>
    </w:p>
    <w:p w:rsidR="002A0079" w:rsidRDefault="002A0079" w:rsidP="002A0079">
      <w:r>
        <w:t>11.</w:t>
      </w:r>
      <w:r>
        <w:tab/>
        <w:t xml:space="preserve">Бумажно-масляная изоляции в высоковольтных конструкциях / М. А. </w:t>
      </w:r>
      <w:proofErr w:type="spellStart"/>
      <w:r>
        <w:t>Грейсух</w:t>
      </w:r>
      <w:proofErr w:type="spellEnd"/>
      <w:r>
        <w:t xml:space="preserve">, Г. С. </w:t>
      </w:r>
      <w:proofErr w:type="spellStart"/>
      <w:r>
        <w:t>Кучинский</w:t>
      </w:r>
      <w:proofErr w:type="spellEnd"/>
      <w:r>
        <w:t>, Д. А. Каплан, Г. Т.</w:t>
      </w:r>
      <w:r>
        <w:t xml:space="preserve"> </w:t>
      </w:r>
      <w:proofErr w:type="spellStart"/>
      <w:r>
        <w:t>Месерман</w:t>
      </w:r>
      <w:proofErr w:type="spellEnd"/>
      <w:r>
        <w:t>. — М. - Л.: ГЭИ, 1963. —</w:t>
      </w:r>
    </w:p>
    <w:p w:rsidR="002A0079" w:rsidRDefault="002A0079" w:rsidP="002A0079">
      <w:r>
        <w:t>12.</w:t>
      </w:r>
      <w:r>
        <w:tab/>
        <w:t xml:space="preserve">Эпштейн С. Л. Измерение характеристик конденсаторов. 2-е изд. доп. </w:t>
      </w:r>
      <w:r>
        <w:t xml:space="preserve">И </w:t>
      </w:r>
      <w:proofErr w:type="spellStart"/>
      <w:r>
        <w:t>перераб</w:t>
      </w:r>
      <w:proofErr w:type="spellEnd"/>
      <w:r>
        <w:t xml:space="preserve">. — Л.: Энергия. Ленингр. </w:t>
      </w:r>
      <w:proofErr w:type="spellStart"/>
      <w:r>
        <w:t>отдние</w:t>
      </w:r>
      <w:proofErr w:type="spellEnd"/>
      <w:r>
        <w:t>, 1971. — 218 с.</w:t>
      </w:r>
    </w:p>
    <w:p w:rsidR="002A0079" w:rsidRPr="002A0079" w:rsidRDefault="002A0079" w:rsidP="002A0079">
      <w:r>
        <w:t>13.</w:t>
      </w:r>
      <w:r>
        <w:tab/>
        <w:t xml:space="preserve">ГОСТ   1516.3-96.   </w:t>
      </w:r>
      <w:proofErr w:type="spellStart"/>
      <w:r>
        <w:t>Электрообо</w:t>
      </w:r>
      <w:r>
        <w:t>о</w:t>
      </w:r>
      <w:r>
        <w:t>удование</w:t>
      </w:r>
      <w:proofErr w:type="spellEnd"/>
      <w:r>
        <w:t xml:space="preserve"> переменного тока на напряжение от 1 до 750 </w:t>
      </w:r>
      <w:proofErr w:type="spellStart"/>
      <w:r>
        <w:t>кВ.</w:t>
      </w:r>
      <w:proofErr w:type="spellEnd"/>
      <w:r>
        <w:t xml:space="preserve"> Требования к электрической</w:t>
      </w:r>
      <w:r w:rsidRPr="002A0079">
        <w:t xml:space="preserve"> </w:t>
      </w:r>
      <w:r>
        <w:t>прочности</w:t>
      </w:r>
      <w:r w:rsidRPr="002A0079">
        <w:t>, 1998.</w:t>
      </w:r>
    </w:p>
    <w:p w:rsidR="002A0079" w:rsidRPr="002A0079" w:rsidRDefault="002A0079" w:rsidP="002A0079">
      <w:pPr>
        <w:rPr>
          <w:lang w:val="en-US"/>
        </w:rPr>
      </w:pPr>
      <w:r w:rsidRPr="002A0079">
        <w:rPr>
          <w:lang w:val="en-US"/>
        </w:rPr>
        <w:t>14.</w:t>
      </w:r>
      <w:r w:rsidRPr="002A0079">
        <w:rPr>
          <w:lang w:val="en-US"/>
        </w:rPr>
        <w:tab/>
        <w:t xml:space="preserve">IEEE </w:t>
      </w:r>
      <w:proofErr w:type="spellStart"/>
      <w:proofErr w:type="gramStart"/>
      <w:r w:rsidRPr="002A0079">
        <w:rPr>
          <w:lang w:val="en-US"/>
        </w:rPr>
        <w:t>Std</w:t>
      </w:r>
      <w:proofErr w:type="spellEnd"/>
      <w:proofErr w:type="gramEnd"/>
      <w:r w:rsidRPr="002A0079">
        <w:rPr>
          <w:lang w:val="en-US"/>
        </w:rPr>
        <w:t xml:space="preserve"> 1434-2000 (2014). IEEE</w:t>
      </w:r>
    </w:p>
    <w:p w:rsidR="002A0079" w:rsidRPr="002A0079" w:rsidRDefault="002A0079" w:rsidP="002A0079">
      <w:pPr>
        <w:rPr>
          <w:lang w:val="en-US"/>
        </w:rPr>
      </w:pPr>
      <w:proofErr w:type="gramStart"/>
      <w:r w:rsidRPr="002A0079">
        <w:rPr>
          <w:lang w:val="en-US"/>
        </w:rPr>
        <w:t>Trial-Use Guide to the Measurement of Partial Discharges in Rotating Machinery, 2014.</w:t>
      </w:r>
      <w:proofErr w:type="gramEnd"/>
    </w:p>
    <w:p w:rsidR="002A0079" w:rsidRDefault="002A0079" w:rsidP="002A0079">
      <w:r>
        <w:t>15.</w:t>
      </w:r>
      <w:r>
        <w:tab/>
        <w:t>Рекомендации МЭК. Публикация</w:t>
      </w:r>
      <w:r>
        <w:t xml:space="preserve"> </w:t>
      </w:r>
      <w:r>
        <w:t xml:space="preserve">270.  1-е изд. — М.: </w:t>
      </w:r>
      <w:proofErr w:type="spellStart"/>
      <w:r>
        <w:t>Информэлектро</w:t>
      </w:r>
      <w:proofErr w:type="spellEnd"/>
      <w:r>
        <w:t>,</w:t>
      </w:r>
      <w:r>
        <w:t xml:space="preserve"> </w:t>
      </w:r>
      <w:r>
        <w:t>1972. — 36 с.</w:t>
      </w:r>
    </w:p>
    <w:p w:rsidR="002A0079" w:rsidRPr="002A0079" w:rsidRDefault="002A0079" w:rsidP="002A0079">
      <w:r>
        <w:t>16.</w:t>
      </w:r>
      <w:r>
        <w:tab/>
        <w:t>Стандарт     МЭК.      Публикация</w:t>
      </w:r>
      <w:r>
        <w:t xml:space="preserve"> </w:t>
      </w:r>
      <w:r>
        <w:t>270. 2-е изд. 1981. Измерения частичных</w:t>
      </w:r>
      <w:r>
        <w:t xml:space="preserve"> </w:t>
      </w:r>
      <w:r>
        <w:t>разрядов.  — М.:  Изд-во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тандартов,</w:t>
      </w:r>
      <w:r>
        <w:t xml:space="preserve"> </w:t>
      </w:r>
      <w:r w:rsidRPr="002A0079">
        <w:t xml:space="preserve">1985. — 32 </w:t>
      </w:r>
      <w:r>
        <w:t>с</w:t>
      </w:r>
      <w:r w:rsidRPr="002A0079">
        <w:t>.</w:t>
      </w:r>
    </w:p>
    <w:p w:rsidR="002A0079" w:rsidRPr="002A0079" w:rsidRDefault="002A0079" w:rsidP="002A0079">
      <w:pPr>
        <w:rPr>
          <w:lang w:val="en-US"/>
        </w:rPr>
      </w:pPr>
      <w:r w:rsidRPr="002A0079">
        <w:rPr>
          <w:lang w:val="en-US"/>
        </w:rPr>
        <w:t>17.</w:t>
      </w:r>
      <w:r w:rsidRPr="002A0079">
        <w:rPr>
          <w:lang w:val="en-US"/>
        </w:rPr>
        <w:tab/>
      </w:r>
      <w:r>
        <w:t>ЕС</w:t>
      </w:r>
      <w:r w:rsidRPr="002A0079">
        <w:rPr>
          <w:lang w:val="en-US"/>
        </w:rPr>
        <w:t xml:space="preserve"> Standard Publication 270. </w:t>
      </w:r>
      <w:proofErr w:type="gramStart"/>
      <w:r w:rsidRPr="002A0079">
        <w:rPr>
          <w:lang w:val="en-US"/>
        </w:rPr>
        <w:t>Second edition.</w:t>
      </w:r>
      <w:proofErr w:type="gramEnd"/>
      <w:r w:rsidRPr="002A0079">
        <w:rPr>
          <w:lang w:val="en-US"/>
        </w:rPr>
        <w:t xml:space="preserve"> </w:t>
      </w:r>
      <w:proofErr w:type="gramStart"/>
      <w:r w:rsidRPr="002A0079">
        <w:rPr>
          <w:lang w:val="en-US"/>
        </w:rPr>
        <w:t>Partial discharge measurements, 1981.</w:t>
      </w:r>
      <w:proofErr w:type="gramEnd"/>
    </w:p>
    <w:p w:rsidR="002A0079" w:rsidRPr="002A0079" w:rsidRDefault="002A0079" w:rsidP="002A0079">
      <w:pPr>
        <w:rPr>
          <w:lang w:val="en-US"/>
        </w:rPr>
      </w:pPr>
      <w:r w:rsidRPr="002A0079">
        <w:rPr>
          <w:lang w:val="en-US"/>
        </w:rPr>
        <w:t>18.</w:t>
      </w:r>
      <w:r w:rsidRPr="002A0079">
        <w:rPr>
          <w:lang w:val="en-US"/>
        </w:rPr>
        <w:tab/>
        <w:t xml:space="preserve">International </w:t>
      </w:r>
      <w:proofErr w:type="gramStart"/>
      <w:r w:rsidRPr="002A0079">
        <w:rPr>
          <w:lang w:val="en-US"/>
        </w:rPr>
        <w:t>Standard  IEC</w:t>
      </w:r>
      <w:proofErr w:type="gramEnd"/>
      <w:r w:rsidRPr="002A0079">
        <w:rPr>
          <w:lang w:val="en-US"/>
        </w:rPr>
        <w:t xml:space="preserve">  60270.</w:t>
      </w:r>
      <w:r w:rsidRPr="002A0079">
        <w:rPr>
          <w:lang w:val="en-US"/>
        </w:rPr>
        <w:t xml:space="preserve"> </w:t>
      </w:r>
      <w:proofErr w:type="gramStart"/>
      <w:r w:rsidRPr="002A0079">
        <w:rPr>
          <w:lang w:val="en-US"/>
        </w:rPr>
        <w:t>Third edition.</w:t>
      </w:r>
      <w:proofErr w:type="gramEnd"/>
      <w:r w:rsidRPr="002A0079">
        <w:rPr>
          <w:lang w:val="en-US"/>
        </w:rPr>
        <w:t xml:space="preserve"> High-voltage test techniques-Partial discharge measurements, 2000.</w:t>
      </w:r>
    </w:p>
    <w:p w:rsidR="002A0079" w:rsidRPr="002A0079" w:rsidRDefault="002A0079" w:rsidP="002A0079">
      <w:pPr>
        <w:rPr>
          <w:lang w:val="en-US"/>
        </w:rPr>
      </w:pPr>
      <w:r w:rsidRPr="002A0079">
        <w:rPr>
          <w:lang w:val="en-US"/>
        </w:rPr>
        <w:t>19.</w:t>
      </w:r>
      <w:r w:rsidRPr="002A0079">
        <w:rPr>
          <w:lang w:val="en-US"/>
        </w:rPr>
        <w:tab/>
        <w:t xml:space="preserve">IEC 60270 (2000). </w:t>
      </w:r>
      <w:proofErr w:type="spellStart"/>
      <w:proofErr w:type="gramStart"/>
      <w:r w:rsidRPr="002A0079">
        <w:rPr>
          <w:lang w:val="en-US"/>
        </w:rPr>
        <w:t>Amd</w:t>
      </w:r>
      <w:proofErr w:type="spellEnd"/>
      <w:r w:rsidRPr="002A0079">
        <w:rPr>
          <w:lang w:val="en-US"/>
        </w:rPr>
        <w:t>.</w:t>
      </w:r>
      <w:proofErr w:type="gramEnd"/>
      <w:r w:rsidRPr="002A0079">
        <w:rPr>
          <w:lang w:val="en-US"/>
        </w:rPr>
        <w:t xml:space="preserve"> 1 (2015)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>High-voltage test techniques — Partial dis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 xml:space="preserve">charge measurements. </w:t>
      </w:r>
      <w:proofErr w:type="gramStart"/>
      <w:r w:rsidRPr="002A0079">
        <w:rPr>
          <w:lang w:val="en-US"/>
        </w:rPr>
        <w:t>Amendment 1, 2000.</w:t>
      </w:r>
      <w:proofErr w:type="gramEnd"/>
    </w:p>
    <w:p w:rsidR="002A0079" w:rsidRDefault="002A0079" w:rsidP="002A0079">
      <w:r w:rsidRPr="002A0079">
        <w:rPr>
          <w:lang w:val="en-US"/>
        </w:rPr>
        <w:t>20.</w:t>
      </w:r>
      <w:r w:rsidRPr="002A0079">
        <w:rPr>
          <w:lang w:val="en-US"/>
        </w:rPr>
        <w:tab/>
      </w:r>
      <w:r>
        <w:t>ГОСТ</w:t>
      </w:r>
      <w:r w:rsidRPr="002A0079">
        <w:rPr>
          <w:lang w:val="en-US"/>
        </w:rPr>
        <w:t xml:space="preserve"> 20074-74. </w:t>
      </w:r>
      <w:r>
        <w:t>Электрооборудование и изоляция на напряжение свыше</w:t>
      </w:r>
    </w:p>
    <w:p w:rsidR="002A0079" w:rsidRDefault="002A0079" w:rsidP="002A0079">
      <w:r>
        <w:t>1000 В.   Методы   измерения   характеристик частичных разрядов. — М.: ГК Стандартов СМ СССР, 1974.</w:t>
      </w:r>
    </w:p>
    <w:p w:rsidR="002A0079" w:rsidRDefault="002A0079" w:rsidP="002A0079">
      <w:r>
        <w:t>21.</w:t>
      </w:r>
      <w:r>
        <w:tab/>
        <w:t xml:space="preserve">Стандарт СЭВ </w:t>
      </w:r>
      <w:proofErr w:type="gramStart"/>
      <w:r>
        <w:t>СТ</w:t>
      </w:r>
      <w:proofErr w:type="gramEnd"/>
      <w:r>
        <w:t xml:space="preserve"> СЭВ 3689-82.</w:t>
      </w:r>
      <w:r>
        <w:t xml:space="preserve"> </w:t>
      </w:r>
      <w:r>
        <w:t>Электрооборудование и электроустановки. Метод измерения характеристик частичных разрядов, 1982.</w:t>
      </w:r>
    </w:p>
    <w:p w:rsidR="002A0079" w:rsidRDefault="002A0079" w:rsidP="002A0079">
      <w:r>
        <w:t>22.</w:t>
      </w:r>
      <w:r>
        <w:tab/>
        <w:t>ГОСТР 1.5-2004. Стандартизация</w:t>
      </w:r>
      <w:r>
        <w:t xml:space="preserve"> </w:t>
      </w:r>
      <w:r>
        <w:t>в РФ. Стандарты национальные РФ. Правила построения, изложения, оформления и обозначения, 2004.</w:t>
      </w:r>
    </w:p>
    <w:p w:rsidR="002A0079" w:rsidRDefault="002A0079" w:rsidP="002A0079">
      <w:r>
        <w:t>23.</w:t>
      </w:r>
      <w:r>
        <w:tab/>
        <w:t>ГОСТ    1.5-2001.    Межгосударственная система стандартизации. Стандарты межгосударственные, правила и</w:t>
      </w:r>
      <w:r>
        <w:t xml:space="preserve"> </w:t>
      </w:r>
      <w:r>
        <w:t>рекомендации  по межгосударственной</w:t>
      </w:r>
      <w:r>
        <w:t xml:space="preserve"> </w:t>
      </w:r>
      <w:r>
        <w:t>стандартизации. Общие требования к построению, изложению, оформлению, содержанию и обозначению, 2001.</w:t>
      </w:r>
    </w:p>
    <w:p w:rsidR="002A0079" w:rsidRDefault="002A0079" w:rsidP="002A0079">
      <w:r>
        <w:t>24.</w:t>
      </w:r>
      <w:r>
        <w:tab/>
        <w:t xml:space="preserve">ГОСТР 55193-2012. Электрооборудование и электроустановки переменного тока на напряжение 3 </w:t>
      </w:r>
      <w:proofErr w:type="spellStart"/>
      <w:r>
        <w:t>кВ</w:t>
      </w:r>
      <w:proofErr w:type="spellEnd"/>
      <w:r>
        <w:t xml:space="preserve"> и выше.</w:t>
      </w:r>
    </w:p>
    <w:p w:rsidR="002A0079" w:rsidRDefault="002A0079" w:rsidP="002A0079">
      <w:r>
        <w:t>Методы измерения при испытаниях высоким напряжением, 2014.</w:t>
      </w:r>
    </w:p>
    <w:p w:rsidR="002A0079" w:rsidRDefault="002A0079" w:rsidP="002A0079">
      <w:r>
        <w:t>25.</w:t>
      </w:r>
      <w:r>
        <w:tab/>
        <w:t xml:space="preserve">ГОСТ 26656-85. Техническая диагностика.   </w:t>
      </w:r>
      <w:proofErr w:type="spellStart"/>
      <w:r>
        <w:t>Контролепригодность</w:t>
      </w:r>
      <w:proofErr w:type="spellEnd"/>
      <w:r>
        <w:t>.   Общие</w:t>
      </w:r>
      <w:r>
        <w:t xml:space="preserve"> </w:t>
      </w:r>
      <w:r>
        <w:t>требования, 1985.</w:t>
      </w:r>
    </w:p>
    <w:p w:rsidR="002A0079" w:rsidRDefault="002A0079" w:rsidP="002A0079">
      <w:r>
        <w:t>26.</w:t>
      </w:r>
      <w:r>
        <w:tab/>
        <w:t xml:space="preserve">Боков Г. </w:t>
      </w:r>
      <w:proofErr w:type="gramStart"/>
      <w:r>
        <w:t>С.</w:t>
      </w:r>
      <w:proofErr w:type="gramEnd"/>
      <w:r>
        <w:t xml:space="preserve"> Зачем нужна стандартизация? //  </w:t>
      </w:r>
      <w:proofErr w:type="spellStart"/>
      <w:r>
        <w:t>Энергоэксперт</w:t>
      </w:r>
      <w:proofErr w:type="spellEnd"/>
      <w:r>
        <w:t>.  2015.</w:t>
      </w:r>
    </w:p>
    <w:p w:rsidR="002A0079" w:rsidRDefault="002A0079" w:rsidP="002A0079">
      <w:r>
        <w:t>№ 6(53). С. 22 - 28.</w:t>
      </w:r>
    </w:p>
    <w:p w:rsidR="002A0079" w:rsidRPr="002A0079" w:rsidRDefault="002A0079" w:rsidP="002A0079">
      <w:pPr>
        <w:rPr>
          <w:lang w:val="en-US"/>
        </w:rPr>
      </w:pPr>
      <w:r>
        <w:t>27.</w:t>
      </w:r>
      <w:r>
        <w:tab/>
        <w:t xml:space="preserve">IEEE </w:t>
      </w:r>
      <w:proofErr w:type="spellStart"/>
      <w:r>
        <w:t>Std</w:t>
      </w:r>
      <w:proofErr w:type="spellEnd"/>
      <w:r>
        <w:t xml:space="preserve"> 400-2000. </w:t>
      </w:r>
      <w:r w:rsidRPr="002A0079">
        <w:rPr>
          <w:lang w:val="en-US"/>
        </w:rPr>
        <w:t>IEEE Guide for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>Field Testing and Evaluation of the Insulation</w:t>
      </w:r>
      <w:r w:rsidRPr="002A0079">
        <w:rPr>
          <w:lang w:val="en-US"/>
        </w:rPr>
        <w:t xml:space="preserve"> </w:t>
      </w:r>
      <w:r w:rsidRPr="002A0079">
        <w:rPr>
          <w:lang w:val="en-US"/>
        </w:rPr>
        <w:t>of Shielded Power Cable Systems, 2000</w:t>
      </w:r>
    </w:p>
    <w:sectPr w:rsidR="002A0079" w:rsidRPr="002A0079" w:rsidSect="002A0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9"/>
    <w:rsid w:val="002A0079"/>
    <w:rsid w:val="0059626F"/>
    <w:rsid w:val="005B5AF2"/>
    <w:rsid w:val="009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obolid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2016-10-19T16:19:00Z</dcterms:created>
  <dcterms:modified xsi:type="dcterms:W3CDTF">2016-10-19T16:28:00Z</dcterms:modified>
</cp:coreProperties>
</file>